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694B" w14:textId="46680EA5" w:rsidR="00AD0C7B" w:rsidRPr="00836A96" w:rsidRDefault="00CE63F6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288540EE" w:rsidR="008D63E4" w:rsidRDefault="00265934" w:rsidP="009916DF">
      <w:pPr>
        <w:pStyle w:val="Titul2"/>
        <w:tabs>
          <w:tab w:val="clear" w:pos="6796"/>
        </w:tabs>
        <w:spacing w:before="2400"/>
      </w:pPr>
      <w:r>
        <w:t xml:space="preserve">Pro </w:t>
      </w:r>
      <w:r w:rsidR="00B536DF">
        <w:fldChar w:fldCharType="begin"/>
      </w:r>
      <w:r w:rsidR="00B536DF">
        <w:instrText xml:space="preserve"> DOCPROPERTY  Title  \* MERGEFORMAT </w:instrText>
      </w:r>
      <w:r w:rsidR="00B536DF">
        <w:fldChar w:fldCharType="end"/>
      </w:r>
      <w:r>
        <w:t>s</w:t>
      </w:r>
      <w:r w:rsidR="009E0953">
        <w:t>tavb</w:t>
      </w:r>
      <w:r>
        <w:t>y</w:t>
      </w:r>
      <w:r w:rsidR="009E0953">
        <w:t>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0A931B48" w:rsidR="00653FBC" w:rsidRPr="00040332" w:rsidRDefault="007E4EAC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szCs w:val="24"/>
            </w:rPr>
            <w:t>„Optimalizace traťového úseku Český Těšín (mimo) – Albrechtice u Českého Těšína (včetně)“ a „Optimalizace traťového úseku Albrechtice u českého Těšína(mimo)-Havířov(mimo)“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45FE4BDB" w14:textId="5256F09D" w:rsidR="0068741C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68741C">
        <w:rPr>
          <w:noProof/>
        </w:rPr>
        <w:t>1.</w:t>
      </w:r>
      <w:r w:rsidR="0068741C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68741C">
        <w:rPr>
          <w:noProof/>
        </w:rPr>
        <w:t>Identifikační údaje stavby</w:t>
      </w:r>
      <w:r w:rsidR="0068741C">
        <w:rPr>
          <w:noProof/>
        </w:rPr>
        <w:tab/>
      </w:r>
      <w:r w:rsidR="0068741C">
        <w:rPr>
          <w:noProof/>
        </w:rPr>
        <w:fldChar w:fldCharType="begin"/>
      </w:r>
      <w:r w:rsidR="0068741C">
        <w:rPr>
          <w:noProof/>
        </w:rPr>
        <w:instrText xml:space="preserve"> PAGEREF _Toc188355953 \h </w:instrText>
      </w:r>
      <w:r w:rsidR="0068741C">
        <w:rPr>
          <w:noProof/>
        </w:rPr>
      </w:r>
      <w:r w:rsidR="0068741C">
        <w:rPr>
          <w:noProof/>
        </w:rPr>
        <w:fldChar w:fldCharType="separate"/>
      </w:r>
      <w:r w:rsidR="0068741C">
        <w:rPr>
          <w:noProof/>
        </w:rPr>
        <w:t>3</w:t>
      </w:r>
      <w:r w:rsidR="0068741C">
        <w:rPr>
          <w:noProof/>
        </w:rPr>
        <w:fldChar w:fldCharType="end"/>
      </w:r>
    </w:p>
    <w:p w14:paraId="47B0E77A" w14:textId="2AC7DDA7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8AD01C5" w14:textId="6BC8BD6B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029C339" w14:textId="67ACD506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D3347AF" w14:textId="695F3FA8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351E694" w14:textId="3F72C324" w:rsidR="0068741C" w:rsidRDefault="0068741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807AC15" w14:textId="1F371C32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61862F" w14:textId="5D1EDFA7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D6589C5" w14:textId="0FB46FFE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B633C75" w14:textId="23711CBF" w:rsidR="0068741C" w:rsidRDefault="0068741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91331F0" w14:textId="24D863E9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06FB182" w14:textId="59A66CAE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7F9A297" w14:textId="3497714F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EDF56F1" w14:textId="6CC7E446" w:rsidR="0068741C" w:rsidRDefault="0068741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9173E76" w14:textId="3C9F6E1F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5BC3DF5A" w14:textId="4730EF2F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45C592A" w14:textId="4C3F2B17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65D54F16" w14:textId="21378783" w:rsidR="0068741C" w:rsidRDefault="0068741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347ECFD" w14:textId="4CEBD3F3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95B7243" w14:textId="3CAC1FFC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043B51B4" w14:textId="5C1D414B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72BA264D" w14:textId="3271418C" w:rsidR="0068741C" w:rsidRDefault="0068741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E6324C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6A5C55DA" w14:textId="71AA7719" w:rsidR="0068741C" w:rsidRDefault="0068741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_Toc188355975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73566C07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835595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8355954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686"/>
        <w:gridCol w:w="5307"/>
      </w:tblGrid>
      <w:tr w:rsidR="00D70454" w:rsidRPr="00F2688E" w14:paraId="6EE62999" w14:textId="77777777" w:rsidTr="002659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3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2659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6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307" w:type="dxa"/>
            <w:tcBorders>
              <w:right w:val="nil"/>
            </w:tcBorders>
            <w:vAlign w:val="center"/>
          </w:tcPr>
          <w:p w14:paraId="70933F63" w14:textId="73F70174" w:rsidR="00265934" w:rsidRDefault="00265934" w:rsidP="0026593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A1816">
              <w:rPr>
                <w:sz w:val="18"/>
              </w:rPr>
              <w:t>Optimalizace traťového úseku Český Těšín (mimo) – Albrechtice u Českého Těšína (včetně)</w:t>
            </w:r>
          </w:p>
          <w:p w14:paraId="61F6DFA0" w14:textId="79E0881E" w:rsidR="000763BC" w:rsidRPr="00022F53" w:rsidRDefault="00265934" w:rsidP="0026593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D8251F">
              <w:rPr>
                <w:sz w:val="18"/>
              </w:rPr>
              <w:t>Optimalizace traťového úseku Albrechtice u Českého Těšína (mimo) – Havířov (mimo)</w:t>
            </w:r>
          </w:p>
        </w:tc>
      </w:tr>
      <w:tr w:rsidR="000763BC" w:rsidRPr="00F2688E" w14:paraId="4120B849" w14:textId="77777777" w:rsidTr="002659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6" w:type="dxa"/>
            <w:tcBorders>
              <w:left w:val="nil"/>
            </w:tcBorders>
            <w:vAlign w:val="center"/>
          </w:tcPr>
          <w:p w14:paraId="7F3C9DCD" w14:textId="7777777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307" w:type="dxa"/>
            <w:tcBorders>
              <w:right w:val="nil"/>
            </w:tcBorders>
            <w:vAlign w:val="center"/>
          </w:tcPr>
          <w:p w14:paraId="537EC38C" w14:textId="606CC42A" w:rsidR="000763BC" w:rsidRPr="0015448A" w:rsidRDefault="00265934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 xml:space="preserve">EIA, </w:t>
            </w:r>
            <w:r w:rsidR="00B31543" w:rsidRPr="00A7623C">
              <w:rPr>
                <w:sz w:val="18"/>
              </w:rPr>
              <w:t>D</w:t>
            </w:r>
            <w:r w:rsidR="00B31543">
              <w:rPr>
                <w:sz w:val="18"/>
              </w:rPr>
              <w:t>P</w:t>
            </w:r>
            <w:r w:rsidR="00B31543" w:rsidRPr="00A7623C">
              <w:rPr>
                <w:sz w:val="18"/>
              </w:rPr>
              <w:t xml:space="preserve">S , </w:t>
            </w:r>
            <w:r w:rsidR="00B31543">
              <w:rPr>
                <w:sz w:val="18"/>
              </w:rPr>
              <w:t>PDPS</w:t>
            </w:r>
          </w:p>
        </w:tc>
      </w:tr>
      <w:tr w:rsidR="00265934" w:rsidRPr="00F2688E" w14:paraId="34921029" w14:textId="77777777" w:rsidTr="002659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6" w:type="dxa"/>
            <w:tcBorders>
              <w:left w:val="nil"/>
            </w:tcBorders>
            <w:vAlign w:val="center"/>
          </w:tcPr>
          <w:p w14:paraId="1F4AADFA" w14:textId="210FB8FE" w:rsidR="00265934" w:rsidRPr="00F2688E" w:rsidRDefault="00265934" w:rsidP="0026593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307" w:type="dxa"/>
            <w:tcBorders>
              <w:right w:val="nil"/>
            </w:tcBorders>
            <w:vAlign w:val="center"/>
          </w:tcPr>
          <w:p w14:paraId="4285C13A" w14:textId="04D00C95" w:rsidR="00265934" w:rsidRDefault="00265934" w:rsidP="0026593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CA1816">
              <w:rPr>
                <w:sz w:val="18"/>
              </w:rPr>
              <w:t>S621700032</w:t>
            </w:r>
          </w:p>
          <w:p w14:paraId="0F01010D" w14:textId="4E3C5C38" w:rsidR="00265934" w:rsidRPr="002C7D33" w:rsidRDefault="00265934" w:rsidP="0026593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D8251F">
              <w:rPr>
                <w:sz w:val="18"/>
                <w:szCs w:val="22"/>
              </w:rPr>
              <w:t>S622000532</w:t>
            </w:r>
          </w:p>
        </w:tc>
      </w:tr>
      <w:tr w:rsidR="00265934" w:rsidRPr="00F2688E" w14:paraId="02CF8563" w14:textId="77777777" w:rsidTr="002659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6" w:type="dxa"/>
            <w:tcBorders>
              <w:left w:val="nil"/>
            </w:tcBorders>
            <w:vAlign w:val="center"/>
          </w:tcPr>
          <w:p w14:paraId="7707C6D3" w14:textId="3C31E513" w:rsidR="00265934" w:rsidRPr="00F2688E" w:rsidRDefault="00265934" w:rsidP="00265934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307" w:type="dxa"/>
            <w:tcBorders>
              <w:right w:val="nil"/>
            </w:tcBorders>
            <w:vAlign w:val="center"/>
          </w:tcPr>
          <w:p w14:paraId="1B4306E0" w14:textId="7E0B1CB4" w:rsidR="00265934" w:rsidRDefault="00265934" w:rsidP="0026593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22"/>
                <w:lang w:eastAsia="cs-CZ"/>
              </w:rPr>
            </w:pPr>
            <w:r w:rsidRPr="00CA1816">
              <w:rPr>
                <w:sz w:val="18"/>
              </w:rPr>
              <w:t>5813520021</w:t>
            </w:r>
          </w:p>
          <w:p w14:paraId="006376C1" w14:textId="4CB6DC8A" w:rsidR="00265934" w:rsidRPr="007651AE" w:rsidRDefault="00265934" w:rsidP="0026593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D8251F">
              <w:rPr>
                <w:rFonts w:eastAsia="Times New Roman" w:cs="Arial"/>
                <w:color w:val="000000"/>
                <w:sz w:val="18"/>
                <w:szCs w:val="22"/>
                <w:lang w:eastAsia="cs-CZ"/>
              </w:rPr>
              <w:t>5813520078</w:t>
            </w:r>
          </w:p>
        </w:tc>
      </w:tr>
      <w:tr w:rsidR="00265934" w:rsidRPr="00F2688E" w14:paraId="312256AD" w14:textId="77777777" w:rsidTr="002659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6" w:type="dxa"/>
            <w:tcBorders>
              <w:left w:val="nil"/>
            </w:tcBorders>
            <w:vAlign w:val="center"/>
          </w:tcPr>
          <w:p w14:paraId="6282D6D3" w14:textId="389865D1" w:rsidR="00265934" w:rsidRPr="00F2688E" w:rsidRDefault="00265934" w:rsidP="0026593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307" w:type="dxa"/>
            <w:tcBorders>
              <w:right w:val="nil"/>
            </w:tcBorders>
            <w:vAlign w:val="center"/>
          </w:tcPr>
          <w:p w14:paraId="50784600" w14:textId="2F95D2A9" w:rsidR="00265934" w:rsidRPr="00EB45F3" w:rsidRDefault="00265934" w:rsidP="0026593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265934" w:rsidRPr="00F2688E" w14:paraId="6B33A2F2" w14:textId="77777777" w:rsidTr="002659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6" w:type="dxa"/>
            <w:tcBorders>
              <w:left w:val="nil"/>
            </w:tcBorders>
            <w:vAlign w:val="center"/>
          </w:tcPr>
          <w:p w14:paraId="0D63FB2D" w14:textId="77777777" w:rsidR="00265934" w:rsidRPr="00F2688E" w:rsidRDefault="00265934" w:rsidP="0026593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307" w:type="dxa"/>
            <w:tcBorders>
              <w:right w:val="nil"/>
            </w:tcBorders>
            <w:vAlign w:val="center"/>
          </w:tcPr>
          <w:p w14:paraId="4D036558" w14:textId="12B14DFA" w:rsidR="00265934" w:rsidRDefault="00265934" w:rsidP="0026593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Český Těšín – Albrechtice u Českého Těšína</w:t>
            </w:r>
          </w:p>
          <w:p w14:paraId="4FA79608" w14:textId="2E8D32C5" w:rsidR="00265934" w:rsidRPr="007651AE" w:rsidRDefault="00265934" w:rsidP="0026593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D8251F">
              <w:rPr>
                <w:sz w:val="18"/>
              </w:rPr>
              <w:t>Albrechtice u Českého Těšína – Havířov</w:t>
            </w:r>
          </w:p>
        </w:tc>
      </w:tr>
      <w:tr w:rsidR="00265934" w:rsidRPr="00F2688E" w14:paraId="2B4D3AB2" w14:textId="77777777" w:rsidTr="002659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6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265934" w:rsidRPr="00F2688E" w:rsidRDefault="00265934" w:rsidP="0026593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307" w:type="dxa"/>
            <w:tcBorders>
              <w:bottom w:val="single" w:sz="2" w:space="0" w:color="auto"/>
              <w:right w:val="nil"/>
            </w:tcBorders>
            <w:vAlign w:val="center"/>
          </w:tcPr>
          <w:p w14:paraId="0A174E8F" w14:textId="5630D7C4" w:rsidR="00265934" w:rsidRDefault="00265934" w:rsidP="0026593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246C4">
              <w:rPr>
                <w:sz w:val="18"/>
              </w:rPr>
              <w:t>252102, 25212A, 2521B1</w:t>
            </w:r>
          </w:p>
          <w:p w14:paraId="71141A98" w14:textId="1E46DC5F" w:rsidR="00265934" w:rsidRPr="00F2688E" w:rsidRDefault="00265934" w:rsidP="0026593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251F">
              <w:rPr>
                <w:sz w:val="18"/>
              </w:rPr>
              <w:t>252104</w:t>
            </w:r>
          </w:p>
        </w:tc>
      </w:tr>
      <w:tr w:rsidR="00265934" w:rsidRPr="00F2688E" w14:paraId="1FA10E29" w14:textId="77777777" w:rsidTr="002659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265934" w:rsidRPr="00F2688E" w:rsidRDefault="00265934" w:rsidP="0026593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3B05ACF8" w:rsidR="00265934" w:rsidRPr="0075773D" w:rsidRDefault="00265934" w:rsidP="0026593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CA1816">
              <w:rPr>
                <w:sz w:val="18"/>
              </w:rPr>
              <w:t>Moravskoslezský</w:t>
            </w:r>
          </w:p>
        </w:tc>
      </w:tr>
      <w:tr w:rsidR="00265934" w:rsidRPr="00F2688E" w14:paraId="3682266C" w14:textId="77777777" w:rsidTr="002659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6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265934" w:rsidRPr="00690CCF" w:rsidRDefault="00265934" w:rsidP="0026593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3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45E1729D" w:rsidR="00265934" w:rsidRPr="00690CCF" w:rsidRDefault="00265934" w:rsidP="0026593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dle </w:t>
            </w:r>
            <w:r w:rsidRPr="00CA1816">
              <w:rPr>
                <w:sz w:val="18"/>
              </w:rPr>
              <w:t>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8355955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10"/>
        <w:gridCol w:w="5283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B31543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B31543" w:rsidRPr="00F2688E" w:rsidRDefault="00B31543" w:rsidP="00B31543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0D0E9FFF" w:rsidR="00B31543" w:rsidRPr="0055671A" w:rsidRDefault="00B31543" w:rsidP="00B3154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B31543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B31543" w:rsidRPr="00F2688E" w:rsidRDefault="00B31543" w:rsidP="00B3154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3AA266C2" w:rsidR="00B31543" w:rsidRPr="0055671A" w:rsidRDefault="00B31543" w:rsidP="00B3154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B31543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B31543" w:rsidRPr="00F2688E" w:rsidRDefault="00B31543" w:rsidP="00B3154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377731C7" w:rsidR="00B31543" w:rsidRPr="00F2688E" w:rsidRDefault="00B31543" w:rsidP="00B3154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</w:tc>
      </w:tr>
      <w:tr w:rsidR="00B31543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B31543" w:rsidRPr="00F2688E" w:rsidRDefault="00B31543" w:rsidP="00B31543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66A11B45" w:rsidR="00B31543" w:rsidRPr="00DC7837" w:rsidRDefault="00B31543" w:rsidP="00B3154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sz w:val="18"/>
              </w:rPr>
              <w:t>Nerudova</w:t>
            </w:r>
            <w:r w:rsidRPr="007662E4">
              <w:rPr>
                <w:sz w:val="18"/>
              </w:rPr>
              <w:t xml:space="preserve"> </w:t>
            </w:r>
            <w:r>
              <w:rPr>
                <w:sz w:val="18"/>
              </w:rPr>
              <w:t>773</w:t>
            </w:r>
            <w:r w:rsidRPr="007662E4">
              <w:rPr>
                <w:sz w:val="18"/>
              </w:rPr>
              <w:t>/</w:t>
            </w:r>
            <w:r>
              <w:rPr>
                <w:sz w:val="18"/>
              </w:rPr>
              <w:t>1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>779 00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 xml:space="preserve">Olomouc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8355956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5304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8355957"/>
      <w:r>
        <w:t>Popis stavby</w:t>
      </w:r>
      <w:bookmarkEnd w:id="14"/>
    </w:p>
    <w:p w14:paraId="6938855C" w14:textId="5F4776DE" w:rsidR="0068334A" w:rsidRDefault="0068334A" w:rsidP="0092401D">
      <w:pPr>
        <w:pStyle w:val="Text2-1"/>
        <w:ind w:left="709"/>
      </w:pPr>
      <w:r>
        <w:t xml:space="preserve">Stavba </w:t>
      </w:r>
      <w:r w:rsidRPr="008C7618">
        <w:rPr>
          <w:b/>
        </w:rPr>
        <w:t>Český Těšín – Albrechtice:</w:t>
      </w:r>
    </w:p>
    <w:p w14:paraId="626F2E1C" w14:textId="6901FFB2" w:rsidR="00B31543" w:rsidRDefault="00265934" w:rsidP="00B31543">
      <w:pPr>
        <w:ind w:left="709"/>
      </w:pPr>
      <w:r>
        <w:t xml:space="preserve"> </w:t>
      </w:r>
      <w:r w:rsidR="00B31543" w:rsidRPr="00675035">
        <w:t xml:space="preserve">Cílem </w:t>
      </w:r>
      <w:r w:rsidR="00B31543">
        <w:t>stavby je v</w:t>
      </w:r>
      <w:r w:rsidR="00B31543" w:rsidRPr="009B2FA3">
        <w:t xml:space="preserve"> žst. Albrechtice u Českého Těšína bude pro kolej č. 1 a kolej č. 2 zavedena vyšší traťové rychlost, bude nově vybudováno staniční zabezpečovací zařízení elektronického typu, 3. kategorie s elektromotorickými přestavníky a světelnými návěstidly, SZZ bude umožňovat dálkové ovládání. Bude vybudováno nové sdělovací zařízení pro řízení dopravy, rozhlasové zařízení pro informování cestujících, hodinové zařízení, kamerový systém, zařízení EPS a EZS. Proběhne úplná rekonstrukce trakčního vedení, bude řešeno nové dálkové a ústřední ovládání úsekových odpojovačů trakčního vedení, bude provedena nová „Lokální distribuční soustava 22kV SŽDC, budou položeny nové kabelové rozvody nízkého napětí, bude vybudován elektrický ohřev výhybek, nové osvětlení  v jednotlivých stanicích, bude osazeno nové zařízení DŘT. Všechny nové </w:t>
      </w:r>
      <w:r w:rsidR="00B31543" w:rsidRPr="009B2FA3">
        <w:lastRenderedPageBreak/>
        <w:t>prvky v kolejišti budou zapojeny na metalické plněné kabely určené pro zabezpečovací zařízení s ochranou proti napájení střídavou trakční soustavou 25 kV. Proběhne komplexní rekonstrukce ostrovního nástupiště v žst. Albrechtice u ČT s vybudováním bezbariérového přístupu, rekonstrukce mostních objektů. V  žst. Albrechtice u Českého Těšína bude vnější plášť výpravní budovy kompletně opraven se snížením energetické náročnosti budovy a budou opraveny zastaralé rozvody energií v objektu.</w:t>
      </w:r>
    </w:p>
    <w:p w14:paraId="5ADCA39D" w14:textId="0A082BF2" w:rsidR="008C7618" w:rsidRDefault="008C7618" w:rsidP="00966EAC">
      <w:pPr>
        <w:pStyle w:val="Text2-1"/>
        <w:ind w:left="709"/>
      </w:pPr>
      <w:r>
        <w:t xml:space="preserve">Stavba </w:t>
      </w:r>
      <w:r w:rsidRPr="00464A8E">
        <w:rPr>
          <w:b/>
        </w:rPr>
        <w:t>Albrechtice - Havířov:</w:t>
      </w:r>
    </w:p>
    <w:p w14:paraId="22740624" w14:textId="2C50324B" w:rsidR="00265934" w:rsidRDefault="00265934" w:rsidP="00265934">
      <w:pPr>
        <w:ind w:left="709"/>
      </w:pPr>
      <w:r w:rsidRPr="00643991">
        <w:t>Hlavním cílem stavby je modernizace traťového úseku Albrechtice u Českého Těšína (mimo) – Havířov (mimo), zvýšení bezpečnosti železničního, zlepšení technického stavu a parametrů řešeného traťového úseku Albrechtice u Českého Těšína (mimo) – Havířov (mimo), zajištění souladu s požadavky TSI.</w:t>
      </w:r>
    </w:p>
    <w:p w14:paraId="581C57F0" w14:textId="77777777" w:rsidR="00265934" w:rsidRDefault="00265934" w:rsidP="00265934">
      <w:pPr>
        <w:ind w:left="709"/>
      </w:pPr>
    </w:p>
    <w:p w14:paraId="4FDF1A93" w14:textId="28C81D39" w:rsidR="00DE1242" w:rsidRDefault="00DE1242" w:rsidP="002A118F">
      <w:pPr>
        <w:spacing w:before="0"/>
        <w:rPr>
          <w:highlight w:val="cyan"/>
          <w:lang w:val="en-US"/>
        </w:rPr>
      </w:pPr>
    </w:p>
    <w:p w14:paraId="28D0E8FB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39F2F5F8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48B910FC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420629DE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17AC2208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65ACC65B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228CF938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64F85234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067BC158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507F2CF2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38C9C4EC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24E75462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72F0E04A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4FAE4850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35F1F7E4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57EEFC1D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15FF2F23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371DD963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729FE934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335E02C1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2F947C21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10874D7B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5A75AD7D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31CBA036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3093B27B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35BF33CE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78441EBA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007410A8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535CFE94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2A045642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493F3AF2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52DE1410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2E0D27DC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74C709CC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25547347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7EE94DA9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019F61F6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11652D47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515A7F58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7167F17A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0DDB7651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39EDFD15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54C04419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4618DC49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41D0A64A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1C1B319D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6AB0F6BD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74204D24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06BB4BFB" w14:textId="77777777" w:rsidR="00464A8E" w:rsidRDefault="00464A8E" w:rsidP="002A118F">
      <w:pPr>
        <w:spacing w:before="0"/>
        <w:rPr>
          <w:highlight w:val="cyan"/>
          <w:lang w:val="en-US"/>
        </w:rPr>
      </w:pP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835595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8355959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B31543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B31543" w:rsidRPr="00C63F37" w:rsidRDefault="00B31543" w:rsidP="00B31543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78A5E0BE" w:rsidR="00B31543" w:rsidRPr="00C63F37" w:rsidRDefault="00B31543" w:rsidP="00B31543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B31543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B31543" w:rsidRPr="005F0952" w:rsidRDefault="00B31543" w:rsidP="00B3154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15D9627" w14:textId="77777777" w:rsidR="0068741C" w:rsidRPr="001A6B79" w:rsidRDefault="0068741C" w:rsidP="0068741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1E56079F" w14:textId="77777777" w:rsidR="0068741C" w:rsidRDefault="0068741C" w:rsidP="0068741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  <w:p w14:paraId="55CF44DF" w14:textId="30F8127D" w:rsidR="00265934" w:rsidRDefault="00953A38" w:rsidP="0026593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</w:t>
            </w:r>
            <w:r w:rsidR="00265934">
              <w:rPr>
                <w:sz w:val="18"/>
              </w:rPr>
              <w:t>ro stavbu</w:t>
            </w:r>
            <w:r>
              <w:rPr>
                <w:sz w:val="18"/>
              </w:rPr>
              <w:t xml:space="preserve"> </w:t>
            </w:r>
            <w:r w:rsidRPr="00953A38">
              <w:rPr>
                <w:b/>
                <w:bCs/>
                <w:sz w:val="18"/>
              </w:rPr>
              <w:t>Český Těšín – Albrechtice</w:t>
            </w:r>
            <w:r w:rsidR="00265934" w:rsidRPr="00953A38">
              <w:rPr>
                <w:b/>
                <w:bCs/>
                <w:sz w:val="18"/>
              </w:rPr>
              <w:t>:</w:t>
            </w:r>
          </w:p>
          <w:p w14:paraId="0B91EFDD" w14:textId="77777777" w:rsidR="00265934" w:rsidRDefault="00265934" w:rsidP="0026593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 xml:space="preserve">Miroslava Klegová </w:t>
            </w:r>
          </w:p>
          <w:p w14:paraId="78ABA462" w14:textId="77777777" w:rsidR="00265934" w:rsidRPr="001A6B79" w:rsidRDefault="00265934" w:rsidP="0026593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724 932 295</w:t>
            </w:r>
            <w:r w:rsidRPr="001A6B79">
              <w:rPr>
                <w:sz w:val="18"/>
              </w:rPr>
              <w:t xml:space="preserve">             </w:t>
            </w:r>
          </w:p>
          <w:p w14:paraId="6BCE3F28" w14:textId="77777777" w:rsidR="00265934" w:rsidRDefault="00265934" w:rsidP="0026593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>
              <w:rPr>
                <w:sz w:val="18"/>
              </w:rPr>
              <w:t>Klegova</w:t>
            </w:r>
            <w:r w:rsidRPr="001A6B79">
              <w:rPr>
                <w:sz w:val="18"/>
              </w:rPr>
              <w:t>@spravazeleznic.cz</w:t>
            </w:r>
            <w:r>
              <w:rPr>
                <w:sz w:val="18"/>
              </w:rPr>
              <w:t xml:space="preserve"> </w:t>
            </w:r>
          </w:p>
          <w:p w14:paraId="6259CF99" w14:textId="3CB00828" w:rsidR="00265934" w:rsidRDefault="00953A38" w:rsidP="0026593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</w:t>
            </w:r>
            <w:r w:rsidR="00265934">
              <w:rPr>
                <w:sz w:val="18"/>
              </w:rPr>
              <w:t>ro stavbu</w:t>
            </w:r>
            <w:r>
              <w:rPr>
                <w:sz w:val="18"/>
              </w:rPr>
              <w:t xml:space="preserve"> </w:t>
            </w:r>
            <w:r w:rsidRPr="00953A38">
              <w:rPr>
                <w:b/>
                <w:bCs/>
                <w:sz w:val="18"/>
              </w:rPr>
              <w:t xml:space="preserve">Albrechtice </w:t>
            </w:r>
            <w:r w:rsidR="00A74E10" w:rsidRPr="00953A38">
              <w:rPr>
                <w:b/>
                <w:bCs/>
                <w:sz w:val="18"/>
              </w:rPr>
              <w:t xml:space="preserve">– </w:t>
            </w:r>
            <w:r w:rsidRPr="00953A38">
              <w:rPr>
                <w:b/>
                <w:bCs/>
                <w:sz w:val="18"/>
              </w:rPr>
              <w:t>Havířov</w:t>
            </w:r>
            <w:r w:rsidR="00265934" w:rsidRPr="00953A38">
              <w:rPr>
                <w:b/>
                <w:bCs/>
                <w:sz w:val="18"/>
              </w:rPr>
              <w:t>:</w:t>
            </w:r>
          </w:p>
          <w:p w14:paraId="2A7E1A58" w14:textId="0B304708" w:rsidR="00265934" w:rsidRDefault="00265934" w:rsidP="0026593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Ing. Bronislav Vlk</w:t>
            </w:r>
          </w:p>
          <w:p w14:paraId="42C55BD0" w14:textId="77777777" w:rsidR="00265934" w:rsidRPr="001A6B79" w:rsidRDefault="00265934" w:rsidP="0026593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601 102 289</w:t>
            </w:r>
            <w:r w:rsidRPr="001A6B79">
              <w:rPr>
                <w:sz w:val="18"/>
              </w:rPr>
              <w:t xml:space="preserve">             </w:t>
            </w:r>
          </w:p>
          <w:p w14:paraId="6797F31A" w14:textId="5B78B9BC" w:rsidR="00B31543" w:rsidRPr="00331F0C" w:rsidRDefault="00265934" w:rsidP="0026593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>
              <w:rPr>
                <w:sz w:val="18"/>
              </w:rPr>
              <w:t>Vlk</w:t>
            </w:r>
            <w:r w:rsidRPr="001A6B79">
              <w:rPr>
                <w:sz w:val="18"/>
              </w:rPr>
              <w:t>@spravazeleznic.cz</w:t>
            </w:r>
          </w:p>
        </w:tc>
      </w:tr>
      <w:tr w:rsidR="00B31543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B31543" w:rsidRPr="005F0952" w:rsidRDefault="00B31543" w:rsidP="00B31543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761D90AA" w14:textId="77777777" w:rsidR="00B31543" w:rsidRPr="001A6B79" w:rsidRDefault="00B31543" w:rsidP="00B3154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6743B73A" w14:textId="77777777" w:rsidR="00B31543" w:rsidRPr="001A6B79" w:rsidRDefault="00B31543" w:rsidP="00B3154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2BD91472" w14:textId="77777777" w:rsidR="00B31543" w:rsidRPr="001A6B79" w:rsidRDefault="00B31543" w:rsidP="00B3154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41F2343A" w14:textId="77777777" w:rsidR="00B31543" w:rsidRPr="001A6B79" w:rsidRDefault="00B31543" w:rsidP="00B3154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03CA749C" w:rsidR="00B31543" w:rsidRPr="00331F0C" w:rsidRDefault="00B31543" w:rsidP="00B315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B31543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B31543" w:rsidRPr="00F2688E" w:rsidRDefault="00B31543" w:rsidP="00B3154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4D661681" w14:textId="77777777" w:rsidR="00B31543" w:rsidRPr="001A6B79" w:rsidRDefault="00B31543" w:rsidP="00B3154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Mariana Salavová</w:t>
            </w:r>
          </w:p>
          <w:p w14:paraId="607A3D8F" w14:textId="77777777" w:rsidR="00B31543" w:rsidRPr="001A6B79" w:rsidRDefault="00B31543" w:rsidP="00B3154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4C9889F7" w14:textId="77777777" w:rsidR="00B31543" w:rsidRPr="001A6B79" w:rsidRDefault="00B31543" w:rsidP="00B3154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12F19B9B" w14:textId="77777777" w:rsidR="00B31543" w:rsidRPr="001A6B79" w:rsidRDefault="00B31543" w:rsidP="00B3154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+420 606 054 261</w:t>
            </w:r>
          </w:p>
          <w:p w14:paraId="30593C8B" w14:textId="59EB38BD" w:rsidR="00B31543" w:rsidRPr="00331F0C" w:rsidRDefault="00B31543" w:rsidP="00B315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8355960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66B5940C" w14:textId="1F8D7C3E" w:rsidR="00A62FF6" w:rsidRDefault="009C2DF4" w:rsidP="00B927D3">
      <w:pPr>
        <w:spacing w:before="0"/>
        <w:jc w:val="both"/>
      </w:pPr>
      <w:r>
        <w:br w:type="page"/>
      </w:r>
      <w:bookmarkStart w:id="19" w:name="_Toc151544378"/>
      <w:bookmarkStart w:id="20" w:name="_Toc188355961"/>
      <w:r w:rsidR="00A62FF6"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8355962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8355963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8355964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8355965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8355966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835596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8355968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8355969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253"/>
        <w:gridCol w:w="362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8355970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8355971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8355972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775F609F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8355973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8355974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6"/>
        <w:gridCol w:w="2212"/>
        <w:gridCol w:w="1670"/>
        <w:gridCol w:w="1683"/>
        <w:gridCol w:w="167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8355975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6B375" w14:textId="77777777" w:rsidR="008634B9" w:rsidRDefault="008634B9" w:rsidP="00962258">
      <w:r>
        <w:separator/>
      </w:r>
    </w:p>
  </w:endnote>
  <w:endnote w:type="continuationSeparator" w:id="0">
    <w:p w14:paraId="4B1E1D63" w14:textId="77777777" w:rsidR="008634B9" w:rsidRDefault="008634B9" w:rsidP="00962258">
      <w:r>
        <w:continuationSeparator/>
      </w:r>
    </w:p>
  </w:endnote>
  <w:endnote w:type="continuationNotice" w:id="1">
    <w:p w14:paraId="67A9DADF" w14:textId="77777777" w:rsidR="008634B9" w:rsidRDefault="008634B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3F1AE712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E63F6">
            <w:rPr>
              <w:rStyle w:val="slostrnky"/>
              <w:noProof/>
            </w:rPr>
            <w:t>21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2F4337B6" w:rsidR="00FB2C4A" w:rsidRPr="003462EB" w:rsidRDefault="00CE63F6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7E4EAC">
                <w:t>„Optimalizace traťového úseku Český Těšín (mimo) – Albrechtice u Českého Těšína (včetně)“ a „Optimalizace traťového úseku Albrechtice u českého Těšína(mimo)-Havířov(mimo)“</w:t>
              </w:r>
            </w:sdtContent>
          </w:sdt>
        </w:p>
        <w:p w14:paraId="21CEEE40" w14:textId="328C7EF8" w:rsidR="00FB2C4A" w:rsidRPr="00B435A5" w:rsidRDefault="00CE63F6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049E00DC" w:rsidR="00653FBC" w:rsidRPr="003462EB" w:rsidRDefault="00CE63F6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7E4EAC">
                <w:t>„Optimalizace traťového úseku Český Těšín (mimo) – Albrechtice u Českého Těšína (včetně)“ a „Optimalizace traťového úseku Albrechtice u českého Těšína(mimo)-Havířov(mimo)“</w:t>
              </w:r>
            </w:sdtContent>
          </w:sdt>
        </w:p>
        <w:p w14:paraId="21F2540B" w14:textId="2E323143" w:rsidR="00653FBC" w:rsidRPr="003462EB" w:rsidRDefault="00CE63F6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564174C0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E63F6">
            <w:rPr>
              <w:rStyle w:val="slostrnky"/>
              <w:noProof/>
            </w:rPr>
            <w:t>21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5498" w14:textId="5747C2A2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265934">
      <w:rPr>
        <w:sz w:val="22"/>
        <w:szCs w:val="22"/>
      </w:rPr>
      <w:t>28</w:t>
    </w:r>
    <w:r w:rsidR="00436779">
      <w:rPr>
        <w:sz w:val="22"/>
        <w:szCs w:val="22"/>
      </w:rPr>
      <w:t>.1.202</w:t>
    </w:r>
    <w:r w:rsidR="00265934">
      <w:rPr>
        <w:sz w:val="22"/>
        <w:szCs w:val="22"/>
      </w:rPr>
      <w:t>5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98A69" w14:textId="77777777" w:rsidR="008634B9" w:rsidRDefault="008634B9" w:rsidP="00962258">
      <w:r>
        <w:separator/>
      </w:r>
    </w:p>
  </w:footnote>
  <w:footnote w:type="continuationSeparator" w:id="0">
    <w:p w14:paraId="253BEF0F" w14:textId="77777777" w:rsidR="008634B9" w:rsidRDefault="008634B9" w:rsidP="00962258">
      <w:r>
        <w:continuationSeparator/>
      </w:r>
    </w:p>
  </w:footnote>
  <w:footnote w:type="continuationNotice" w:id="1">
    <w:p w14:paraId="742B8558" w14:textId="77777777" w:rsidR="008634B9" w:rsidRDefault="008634B9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971123139" name="Obrázek 9711231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3D03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934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0EF4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4A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2993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E7E19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1725"/>
    <w:rsid w:val="004321B0"/>
    <w:rsid w:val="00432BF2"/>
    <w:rsid w:val="004352D0"/>
    <w:rsid w:val="004365DF"/>
    <w:rsid w:val="00436779"/>
    <w:rsid w:val="00436D2B"/>
    <w:rsid w:val="00436FEB"/>
    <w:rsid w:val="004402C4"/>
    <w:rsid w:val="004403D4"/>
    <w:rsid w:val="004409A6"/>
    <w:rsid w:val="00442BED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A8E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80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4CB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34A"/>
    <w:rsid w:val="00683952"/>
    <w:rsid w:val="00683E7B"/>
    <w:rsid w:val="006856BA"/>
    <w:rsid w:val="00686532"/>
    <w:rsid w:val="0068683E"/>
    <w:rsid w:val="00686D8F"/>
    <w:rsid w:val="0068741C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269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4EAC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0CC5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34B9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618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3A38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0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25333"/>
    <w:rsid w:val="00B30400"/>
    <w:rsid w:val="00B30F61"/>
    <w:rsid w:val="00B30FE4"/>
    <w:rsid w:val="00B31543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27D3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3F6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1664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0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266B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14F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181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3EF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C39C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B4059"/>
    <w:rsid w:val="003C0D7D"/>
    <w:rsid w:val="003D31E0"/>
    <w:rsid w:val="00402395"/>
    <w:rsid w:val="004051E1"/>
    <w:rsid w:val="00410CAD"/>
    <w:rsid w:val="00426CE5"/>
    <w:rsid w:val="004303F5"/>
    <w:rsid w:val="0043172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7B4A65"/>
    <w:rsid w:val="007C6269"/>
    <w:rsid w:val="00800CC5"/>
    <w:rsid w:val="00803BB8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179C6"/>
    <w:rsid w:val="00C25C92"/>
    <w:rsid w:val="00C42540"/>
    <w:rsid w:val="00C4663E"/>
    <w:rsid w:val="00C53518"/>
    <w:rsid w:val="00C6475F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76EF5"/>
    <w:rsid w:val="00E82ACB"/>
    <w:rsid w:val="00E9266B"/>
    <w:rsid w:val="00E9281D"/>
    <w:rsid w:val="00F20048"/>
    <w:rsid w:val="00F21AF6"/>
    <w:rsid w:val="00F37E07"/>
    <w:rsid w:val="00F46CFF"/>
    <w:rsid w:val="00F543E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23</Pages>
  <Words>2832</Words>
  <Characters>16713</Characters>
  <Application>Microsoft Office Word</Application>
  <DocSecurity>2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„Optimalizace traťového úseku Český Těšín (mimo) – Albrechtice u Českého Těšína (včetně)“ a „Optimalizace traťového úseku Albrechtice u českého Těšína(mimo)-Havířov(mimo)“</dc:subject>
  <dc:creator>Správa železnic</dc:creator>
  <cp:keywords>2024-10</cp:keywords>
  <cp:lastModifiedBy>Šafář Karel, Ing.</cp:lastModifiedBy>
  <cp:revision>17</cp:revision>
  <cp:lastPrinted>2021-08-24T14:31:00Z</cp:lastPrinted>
  <dcterms:created xsi:type="dcterms:W3CDTF">2025-01-21T11:46:00Z</dcterms:created>
  <dcterms:modified xsi:type="dcterms:W3CDTF">2025-02-05T10:02:00Z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